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color w:val="000000"/>
          <w:lang w:val="hu-HU"/>
        </w:rPr>
      </w:pPr>
      <w:r>
        <w:rPr>
          <w:rFonts w:ascii="Times New Roman" w:hAnsi="Times New Roman"/>
          <w:b/>
          <w:bCs/>
          <w:color w:val="000000"/>
          <w:lang w:val="hu-HU"/>
        </w:rPr>
        <w:t xml:space="preserve">Ludas Község Önkormányzata </w:t>
      </w:r>
      <w:hyperlink r:id="rId2">
        <w:r>
          <w:rPr>
            <w:rStyle w:val="Internet-hivatkozs"/>
            <w:rFonts w:ascii="Times New Roman" w:hAnsi="Times New Roman"/>
            <w:b/>
            <w:bCs/>
            <w:color w:val="000000"/>
            <w:lang w:val="hu-HU"/>
          </w:rPr>
          <w:t>https://www.ludas.hu/</w:t>
        </w:r>
      </w:hyperlink>
      <w:hyperlink r:id="rId3">
        <w:r>
          <w:rPr>
            <w:rFonts w:ascii="Times New Roman" w:hAnsi="Times New Roman"/>
            <w:b/>
            <w:bCs/>
            <w:color w:val="000000"/>
            <w:lang w:val="hu-HU"/>
          </w:rPr>
          <w:t xml:space="preserve"> </w:t>
        </w:r>
      </w:hyperlink>
      <w:r>
        <w:rPr>
          <w:rFonts w:ascii="Times New Roman" w:hAnsi="Times New Roman"/>
          <w:b/>
          <w:bCs/>
          <w:color w:val="000000"/>
          <w:lang w:val="hu-HU"/>
        </w:rPr>
        <w:t>adatkezelési tájékoztató</w:t>
      </w:r>
    </w:p>
    <w:p>
      <w:pPr>
        <w:pStyle w:val="Normal"/>
        <w:bidi w:val="0"/>
        <w:jc w:val="center"/>
        <w:rPr>
          <w:rFonts w:ascii="Times New Roman" w:hAnsi="Times New Roman"/>
          <w:b/>
          <w:bCs/>
        </w:rPr>
      </w:pPr>
      <w:r>
        <w:rPr>
          <w:color w:val="000000"/>
          <w:lang w:val="hu-HU"/>
        </w:rPr>
      </w:r>
    </w:p>
    <w:p>
      <w:pPr>
        <w:pStyle w:val="Normal"/>
        <w:bidi w:val="0"/>
        <w:spacing w:before="0" w:after="60"/>
        <w:jc w:val="both"/>
        <w:rPr>
          <w:rFonts w:ascii="Times New Roman" w:hAnsi="Times New Roman"/>
          <w:color w:val="000000"/>
          <w:lang w:val="hu-HU"/>
        </w:rPr>
      </w:pPr>
      <w:r>
        <w:rPr>
          <w:rFonts w:ascii="Times New Roman" w:hAnsi="Times New Roman"/>
          <w:color w:val="000000"/>
          <w:lang w:val="hu-HU"/>
        </w:rPr>
        <w:t>Jelen tájékoztató célja, hogy az érintettek átlátható, közérthető és részletes tájékoztatást kapjanak a honlap használatához, az elektronikus és e-mailes kapcsolattartáshoz, az ASP/e-ügyintézéshez, valamint az önkormányzati és hivatali ügyintézéshez kapcsolódó személyesadat-kezelésekről. A tájékoztató a GDPR 13–14. cikke szerinti előzetes tájékoztatásként szolgál, és nem helyettesíti az egyes ágazati vagy intézményi adatkezelési tájékoztatókat, ha azok külön jogviszonyra vagy szolgáltatásra vonatkoznak.</w:t>
      </w:r>
    </w:p>
    <w:p>
      <w:pPr>
        <w:pStyle w:val="Cmsor2"/>
        <w:bidi w:val="0"/>
        <w:jc w:val="center"/>
        <w:rPr>
          <w:rFonts w:ascii="Times New Roman" w:hAnsi="Times New Roman"/>
          <w:color w:val="000000"/>
          <w:lang w:val="hu-HU"/>
        </w:rPr>
      </w:pPr>
      <w:r>
        <w:rPr>
          <w:rFonts w:ascii="Times New Roman" w:hAnsi="Times New Roman"/>
          <w:color w:val="000000"/>
          <w:lang w:val="hu-HU"/>
        </w:rPr>
        <w:t>Az adatkezelő adatai</w:t>
      </w:r>
    </w:p>
    <w:tbl>
      <w:tblPr>
        <w:tblStyle w:val="TableGrid"/>
        <w:tblW w:w="14481"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7240"/>
        <w:gridCol w:w="7240"/>
      </w:tblGrid>
      <w:tr>
        <w:trPr/>
        <w:tc>
          <w:tcPr>
            <w:tcW w:w="7240" w:type="dxa"/>
            <w:tcBorders/>
            <w:shd w:fill="D9EAF7"/>
          </w:tcPr>
          <w:p>
            <w:pPr>
              <w:pStyle w:val="Normal"/>
              <w:widowControl/>
              <w:bidi w:val="0"/>
              <w:spacing w:lineRule="auto" w:line="240" w:before="0" w:after="0"/>
              <w:jc w:val="left"/>
              <w:rPr>
                <w:rFonts w:ascii="Times New Roman" w:hAnsi="Times New Roman" w:cs=""/>
                <w:color w:val="000000"/>
                <w:kern w:val="0"/>
                <w:szCs w:val="22"/>
                <w:lang w:val="hu-HU" w:eastAsia="en-US" w:bidi="ar-SA"/>
              </w:rPr>
            </w:pPr>
            <w:r>
              <w:rPr>
                <w:rFonts w:eastAsia="Arial" w:cs="" w:ascii="Times New Roman" w:hAnsi="Times New Roman"/>
                <w:b/>
                <w:color w:val="000000"/>
                <w:kern w:val="0"/>
                <w:sz w:val="16"/>
                <w:szCs w:val="22"/>
                <w:lang w:val="hu-HU" w:eastAsia="en-US" w:bidi="ar-SA"/>
              </w:rPr>
              <w:t>Adatkezelő neve</w:t>
            </w:r>
          </w:p>
        </w:tc>
        <w:tc>
          <w:tcPr>
            <w:tcW w:w="7240" w:type="dxa"/>
            <w:tcBorders/>
          </w:tcPr>
          <w:p>
            <w:pPr>
              <w:pStyle w:val="Normal"/>
              <w:widowControl/>
              <w:bidi w:val="0"/>
              <w:spacing w:lineRule="auto" w:line="240" w:before="0" w:after="0"/>
              <w:jc w:val="left"/>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6"/>
                <w:szCs w:val="22"/>
                <w:lang w:val="hu-HU" w:eastAsia="en-US" w:bidi="ar-SA"/>
              </w:rPr>
              <w:t>Ludas Község Önkormányzata</w:t>
            </w:r>
          </w:p>
        </w:tc>
      </w:tr>
      <w:tr>
        <w:trPr/>
        <w:tc>
          <w:tcPr>
            <w:tcW w:w="7240" w:type="dxa"/>
            <w:tcBorders/>
            <w:shd w:fill="D9EAF7"/>
          </w:tcPr>
          <w:p>
            <w:pPr>
              <w:pStyle w:val="Normal"/>
              <w:widowControl/>
              <w:bidi w:val="0"/>
              <w:spacing w:lineRule="auto" w:line="240" w:before="0" w:after="0"/>
              <w:jc w:val="left"/>
              <w:rPr>
                <w:rFonts w:ascii="Times New Roman" w:hAnsi="Times New Roman" w:cs=""/>
                <w:color w:val="000000"/>
                <w:kern w:val="0"/>
                <w:szCs w:val="22"/>
                <w:lang w:val="hu-HU" w:eastAsia="en-US" w:bidi="ar-SA"/>
              </w:rPr>
            </w:pPr>
            <w:r>
              <w:rPr>
                <w:rFonts w:eastAsia="Arial" w:cs="" w:ascii="Times New Roman" w:hAnsi="Times New Roman"/>
                <w:b/>
                <w:color w:val="000000"/>
                <w:kern w:val="0"/>
                <w:sz w:val="16"/>
                <w:szCs w:val="22"/>
                <w:lang w:val="hu-HU" w:eastAsia="en-US" w:bidi="ar-SA"/>
              </w:rPr>
              <w:t>Székhely / postacím</w:t>
            </w:r>
          </w:p>
        </w:tc>
        <w:tc>
          <w:tcPr>
            <w:tcW w:w="7240" w:type="dxa"/>
            <w:tcBorders/>
          </w:tcPr>
          <w:p>
            <w:pPr>
              <w:pStyle w:val="Normal"/>
              <w:widowControl/>
              <w:bidi w:val="0"/>
              <w:spacing w:lineRule="auto" w:line="240" w:before="0" w:after="0"/>
              <w:jc w:val="left"/>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6"/>
                <w:szCs w:val="22"/>
                <w:lang w:val="hu-HU" w:eastAsia="en-US" w:bidi="ar-SA"/>
              </w:rPr>
              <w:t>3274 Ludas, Fő tér 1.</w:t>
            </w:r>
          </w:p>
        </w:tc>
      </w:tr>
      <w:tr>
        <w:trPr/>
        <w:tc>
          <w:tcPr>
            <w:tcW w:w="7240" w:type="dxa"/>
            <w:tcBorders/>
            <w:shd w:fill="D9EAF7"/>
          </w:tcPr>
          <w:p>
            <w:pPr>
              <w:pStyle w:val="Normal"/>
              <w:widowControl/>
              <w:bidi w:val="0"/>
              <w:spacing w:lineRule="auto" w:line="240" w:before="0" w:after="0"/>
              <w:jc w:val="left"/>
              <w:rPr>
                <w:rFonts w:ascii="Times New Roman" w:hAnsi="Times New Roman" w:cs=""/>
                <w:color w:val="000000"/>
                <w:kern w:val="0"/>
                <w:szCs w:val="22"/>
                <w:lang w:val="hu-HU" w:eastAsia="en-US" w:bidi="ar-SA"/>
              </w:rPr>
            </w:pPr>
            <w:r>
              <w:rPr>
                <w:rFonts w:eastAsia="Arial" w:cs="" w:ascii="Times New Roman" w:hAnsi="Times New Roman"/>
                <w:b/>
                <w:color w:val="000000"/>
                <w:kern w:val="0"/>
                <w:sz w:val="16"/>
                <w:szCs w:val="22"/>
                <w:lang w:val="hu-HU" w:eastAsia="en-US" w:bidi="ar-SA"/>
              </w:rPr>
              <w:t>Honlap</w:t>
            </w:r>
          </w:p>
        </w:tc>
        <w:tc>
          <w:tcPr>
            <w:tcW w:w="7240" w:type="dxa"/>
            <w:tcBorders/>
          </w:tcPr>
          <w:p>
            <w:pPr>
              <w:pStyle w:val="Normal"/>
              <w:widowControl/>
              <w:bidi w:val="0"/>
              <w:spacing w:lineRule="auto" w:line="240" w:before="0" w:after="0"/>
              <w:jc w:val="left"/>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6"/>
                <w:szCs w:val="22"/>
                <w:lang w:val="hu-HU" w:eastAsia="en-US" w:bidi="ar-SA"/>
              </w:rPr>
              <w:t>https://www.ludas.hu/</w:t>
            </w:r>
          </w:p>
        </w:tc>
      </w:tr>
      <w:tr>
        <w:trPr/>
        <w:tc>
          <w:tcPr>
            <w:tcW w:w="7240" w:type="dxa"/>
            <w:tcBorders/>
            <w:shd w:fill="D9EAF7"/>
          </w:tcPr>
          <w:p>
            <w:pPr>
              <w:pStyle w:val="Normal"/>
              <w:widowControl/>
              <w:bidi w:val="0"/>
              <w:spacing w:lineRule="auto" w:line="240" w:before="0" w:after="0"/>
              <w:jc w:val="left"/>
              <w:rPr>
                <w:rFonts w:ascii="Times New Roman" w:hAnsi="Times New Roman" w:cs=""/>
                <w:color w:val="000000"/>
                <w:kern w:val="0"/>
                <w:szCs w:val="22"/>
                <w:lang w:val="hu-HU" w:eastAsia="en-US" w:bidi="ar-SA"/>
              </w:rPr>
            </w:pPr>
            <w:r>
              <w:rPr>
                <w:rFonts w:eastAsia="Arial" w:cs="" w:ascii="Times New Roman" w:hAnsi="Times New Roman"/>
                <w:b/>
                <w:color w:val="000000"/>
                <w:kern w:val="0"/>
                <w:sz w:val="16"/>
                <w:szCs w:val="22"/>
                <w:lang w:val="hu-HU" w:eastAsia="en-US" w:bidi="ar-SA"/>
              </w:rPr>
              <w:t>Telefon</w:t>
            </w:r>
          </w:p>
        </w:tc>
        <w:tc>
          <w:tcPr>
            <w:tcW w:w="7240" w:type="dxa"/>
            <w:tcBorders/>
          </w:tcPr>
          <w:p>
            <w:pPr>
              <w:pStyle w:val="Normal"/>
              <w:widowControl/>
              <w:bidi w:val="0"/>
              <w:spacing w:lineRule="auto" w:line="240" w:before="0" w:after="0"/>
              <w:jc w:val="left"/>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6"/>
                <w:szCs w:val="22"/>
                <w:lang w:val="hu-HU" w:eastAsia="en-US" w:bidi="ar-SA"/>
              </w:rPr>
              <w:t>37/362-043; +36 20 479 1686</w:t>
            </w:r>
          </w:p>
        </w:tc>
      </w:tr>
      <w:tr>
        <w:trPr/>
        <w:tc>
          <w:tcPr>
            <w:tcW w:w="7240" w:type="dxa"/>
            <w:tcBorders/>
            <w:shd w:fill="D9EAF7"/>
          </w:tcPr>
          <w:p>
            <w:pPr>
              <w:pStyle w:val="Normal"/>
              <w:widowControl/>
              <w:bidi w:val="0"/>
              <w:spacing w:lineRule="auto" w:line="240" w:before="0" w:after="0"/>
              <w:jc w:val="left"/>
              <w:rPr>
                <w:rFonts w:ascii="Times New Roman" w:hAnsi="Times New Roman" w:cs=""/>
                <w:color w:val="000000"/>
                <w:kern w:val="0"/>
                <w:szCs w:val="22"/>
                <w:lang w:val="hu-HU" w:eastAsia="en-US" w:bidi="ar-SA"/>
              </w:rPr>
            </w:pPr>
            <w:r>
              <w:rPr>
                <w:rFonts w:eastAsia="Arial" w:cs="" w:ascii="Times New Roman" w:hAnsi="Times New Roman"/>
                <w:b/>
                <w:color w:val="000000"/>
                <w:kern w:val="0"/>
                <w:sz w:val="16"/>
                <w:szCs w:val="22"/>
                <w:lang w:val="hu-HU" w:eastAsia="en-US" w:bidi="ar-SA"/>
              </w:rPr>
              <w:t>E-mail</w:t>
            </w:r>
          </w:p>
        </w:tc>
        <w:tc>
          <w:tcPr>
            <w:tcW w:w="7240" w:type="dxa"/>
            <w:tcBorders/>
          </w:tcPr>
          <w:p>
            <w:pPr>
              <w:pStyle w:val="Normal"/>
              <w:widowControl/>
              <w:bidi w:val="0"/>
              <w:spacing w:lineRule="auto" w:line="240" w:before="0" w:after="0"/>
              <w:jc w:val="left"/>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6"/>
                <w:szCs w:val="22"/>
                <w:lang w:val="hu-HU" w:eastAsia="en-US" w:bidi="ar-SA"/>
              </w:rPr>
              <w:t xml:space="preserve">titkarsag@ludas.hu; </w:t>
            </w:r>
          </w:p>
        </w:tc>
      </w:tr>
      <w:tr>
        <w:trPr/>
        <w:tc>
          <w:tcPr>
            <w:tcW w:w="7240" w:type="dxa"/>
            <w:tcBorders/>
            <w:shd w:fill="D9EAF7"/>
          </w:tcPr>
          <w:p>
            <w:pPr>
              <w:pStyle w:val="Normal"/>
              <w:widowControl/>
              <w:bidi w:val="0"/>
              <w:spacing w:lineRule="auto" w:line="240" w:before="0" w:after="0"/>
              <w:jc w:val="left"/>
              <w:rPr>
                <w:rFonts w:ascii="Times New Roman" w:hAnsi="Times New Roman" w:cs=""/>
                <w:color w:val="000000"/>
                <w:kern w:val="0"/>
                <w:szCs w:val="22"/>
                <w:lang w:val="hu-HU" w:eastAsia="en-US" w:bidi="ar-SA"/>
              </w:rPr>
            </w:pPr>
            <w:r>
              <w:rPr>
                <w:rFonts w:eastAsia="Arial" w:cs="" w:ascii="Times New Roman" w:hAnsi="Times New Roman"/>
                <w:b/>
                <w:color w:val="000000"/>
                <w:kern w:val="0"/>
                <w:sz w:val="16"/>
                <w:szCs w:val="22"/>
                <w:lang w:val="hu-HU" w:eastAsia="en-US" w:bidi="ar-SA"/>
              </w:rPr>
              <w:t>Hivatal / közös hivatal</w:t>
            </w:r>
          </w:p>
        </w:tc>
        <w:tc>
          <w:tcPr>
            <w:tcW w:w="7240" w:type="dxa"/>
            <w:tcBorders/>
          </w:tcPr>
          <w:p>
            <w:pPr>
              <w:pStyle w:val="Normal"/>
              <w:widowControl/>
              <w:bidi w:val="0"/>
              <w:spacing w:lineRule="auto" w:line="240" w:before="0" w:after="0"/>
              <w:jc w:val="left"/>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6"/>
                <w:szCs w:val="22"/>
                <w:lang w:val="hu-HU" w:eastAsia="en-US" w:bidi="ar-SA"/>
              </w:rPr>
              <w:t xml:space="preserve">Adácsi Közös Önkormányzati Hivatal Ludasi Kirendeltsége </w:t>
            </w:r>
          </w:p>
        </w:tc>
      </w:tr>
      <w:tr>
        <w:trPr/>
        <w:tc>
          <w:tcPr>
            <w:tcW w:w="7240" w:type="dxa"/>
            <w:tcBorders/>
            <w:shd w:fill="D9EAF7"/>
          </w:tcPr>
          <w:p>
            <w:pPr>
              <w:pStyle w:val="Normal"/>
              <w:widowControl/>
              <w:bidi w:val="0"/>
              <w:spacing w:lineRule="auto" w:line="240" w:before="0" w:after="0"/>
              <w:jc w:val="left"/>
              <w:rPr>
                <w:rFonts w:ascii="Times New Roman" w:hAnsi="Times New Roman" w:cs=""/>
                <w:color w:val="000000"/>
                <w:kern w:val="0"/>
                <w:szCs w:val="22"/>
                <w:lang w:val="hu-HU" w:eastAsia="en-US" w:bidi="ar-SA"/>
              </w:rPr>
            </w:pPr>
            <w:r>
              <w:rPr>
                <w:rFonts w:eastAsia="Arial" w:cs="" w:ascii="Times New Roman" w:hAnsi="Times New Roman"/>
                <w:b/>
                <w:color w:val="000000"/>
                <w:kern w:val="0"/>
                <w:sz w:val="16"/>
                <w:szCs w:val="22"/>
                <w:lang w:val="hu-HU" w:eastAsia="en-US" w:bidi="ar-SA"/>
              </w:rPr>
              <w:t>Adatvédelmi tisztviselő</w:t>
            </w:r>
          </w:p>
        </w:tc>
        <w:tc>
          <w:tcPr>
            <w:tcW w:w="7240" w:type="dxa"/>
            <w:tcBorders/>
          </w:tcPr>
          <w:p>
            <w:pPr>
              <w:pStyle w:val="Normal"/>
              <w:widowControl/>
              <w:bidi w:val="0"/>
              <w:spacing w:lineRule="auto" w:line="240" w:before="0" w:after="0"/>
              <w:jc w:val="left"/>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6"/>
                <w:szCs w:val="22"/>
                <w:lang w:val="hu-HU" w:eastAsia="en-US" w:bidi="ar-SA"/>
              </w:rPr>
              <w:t>dr. Szikszai Tibor e.v.</w:t>
            </w:r>
          </w:p>
        </w:tc>
      </w:tr>
      <w:tr>
        <w:trPr/>
        <w:tc>
          <w:tcPr>
            <w:tcW w:w="7240" w:type="dxa"/>
            <w:tcBorders/>
            <w:shd w:fill="D9EAF7"/>
          </w:tcPr>
          <w:p>
            <w:pPr>
              <w:pStyle w:val="Normal"/>
              <w:widowControl/>
              <w:bidi w:val="0"/>
              <w:spacing w:lineRule="auto" w:line="240" w:before="0" w:after="0"/>
              <w:jc w:val="left"/>
              <w:rPr>
                <w:rFonts w:ascii="Times New Roman" w:hAnsi="Times New Roman" w:cs=""/>
                <w:color w:val="000000"/>
                <w:kern w:val="0"/>
                <w:szCs w:val="22"/>
                <w:lang w:val="hu-HU" w:eastAsia="en-US" w:bidi="ar-SA"/>
              </w:rPr>
            </w:pPr>
            <w:r>
              <w:rPr>
                <w:rFonts w:eastAsia="Arial" w:cs="" w:ascii="Times New Roman" w:hAnsi="Times New Roman"/>
                <w:b/>
                <w:color w:val="000000"/>
                <w:kern w:val="0"/>
                <w:sz w:val="16"/>
                <w:szCs w:val="22"/>
                <w:lang w:val="hu-HU" w:eastAsia="en-US" w:bidi="ar-SA"/>
              </w:rPr>
              <w:t>DPO e-mail</w:t>
            </w:r>
          </w:p>
        </w:tc>
        <w:tc>
          <w:tcPr>
            <w:tcW w:w="7240" w:type="dxa"/>
            <w:tcBorders/>
          </w:tcPr>
          <w:p>
            <w:pPr>
              <w:pStyle w:val="Normal"/>
              <w:widowControl/>
              <w:bidi w:val="0"/>
              <w:spacing w:lineRule="auto" w:line="240" w:before="0" w:after="0"/>
              <w:jc w:val="left"/>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6"/>
                <w:szCs w:val="22"/>
                <w:lang w:val="hu-HU" w:eastAsia="en-US" w:bidi="ar-SA"/>
              </w:rPr>
              <w:t>szikszaiadatvedelem@gmail.com</w:t>
            </w:r>
          </w:p>
        </w:tc>
      </w:tr>
      <w:tr>
        <w:trPr/>
        <w:tc>
          <w:tcPr>
            <w:tcW w:w="7240" w:type="dxa"/>
            <w:tcBorders/>
            <w:shd w:fill="D9EAF7"/>
          </w:tcPr>
          <w:p>
            <w:pPr>
              <w:pStyle w:val="Normal"/>
              <w:widowControl/>
              <w:bidi w:val="0"/>
              <w:spacing w:lineRule="auto" w:line="240" w:before="0" w:after="0"/>
              <w:jc w:val="left"/>
              <w:rPr>
                <w:rFonts w:ascii="Times New Roman" w:hAnsi="Times New Roman" w:cs=""/>
                <w:color w:val="000000"/>
                <w:kern w:val="0"/>
                <w:szCs w:val="22"/>
                <w:lang w:val="hu-HU" w:eastAsia="en-US" w:bidi="ar-SA"/>
              </w:rPr>
            </w:pPr>
            <w:r>
              <w:rPr>
                <w:rFonts w:eastAsia="Arial" w:cs="" w:ascii="Times New Roman" w:hAnsi="Times New Roman"/>
                <w:b/>
                <w:color w:val="000000"/>
                <w:kern w:val="0"/>
                <w:sz w:val="16"/>
                <w:szCs w:val="22"/>
                <w:lang w:val="hu-HU" w:eastAsia="en-US" w:bidi="ar-SA"/>
              </w:rPr>
              <w:t>DPO telefon</w:t>
            </w:r>
          </w:p>
        </w:tc>
        <w:tc>
          <w:tcPr>
            <w:tcW w:w="7240" w:type="dxa"/>
            <w:tcBorders/>
          </w:tcPr>
          <w:p>
            <w:pPr>
              <w:pStyle w:val="Normal"/>
              <w:widowControl/>
              <w:bidi w:val="0"/>
              <w:spacing w:lineRule="auto" w:line="240" w:before="0" w:after="0"/>
              <w:jc w:val="left"/>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6"/>
                <w:szCs w:val="22"/>
                <w:lang w:val="hu-HU" w:eastAsia="en-US" w:bidi="ar-SA"/>
              </w:rPr>
              <w:t>+36 70 396 6796</w:t>
            </w:r>
          </w:p>
        </w:tc>
      </w:tr>
    </w:tbl>
    <w:p>
      <w:pPr>
        <w:pStyle w:val="Cmsor2"/>
        <w:bidi w:val="0"/>
        <w:jc w:val="center"/>
        <w:rPr>
          <w:rFonts w:ascii="Times New Roman" w:hAnsi="Times New Roman"/>
          <w:color w:val="000000"/>
          <w:lang w:val="hu-HU"/>
        </w:rPr>
      </w:pPr>
      <w:r>
        <w:rPr>
          <w:rFonts w:ascii="Times New Roman" w:hAnsi="Times New Roman"/>
          <w:color w:val="000000"/>
          <w:lang w:val="hu-HU"/>
        </w:rPr>
        <w:t>A tájékoztató hatálya</w:t>
      </w:r>
    </w:p>
    <w:p>
      <w:pPr>
        <w:pStyle w:val="Normal"/>
        <w:bidi w:val="0"/>
        <w:spacing w:before="0" w:after="60"/>
        <w:jc w:val="both"/>
        <w:rPr>
          <w:rFonts w:ascii="Times New Roman" w:hAnsi="Times New Roman"/>
          <w:color w:val="000000"/>
          <w:lang w:val="hu-HU"/>
        </w:rPr>
      </w:pPr>
      <w:r>
        <w:rPr>
          <w:rFonts w:ascii="Times New Roman" w:hAnsi="Times New Roman"/>
          <w:color w:val="000000"/>
          <w:lang w:val="hu-HU"/>
        </w:rPr>
        <w:t>A tájékoztató kiterjed a honlap megtekintésével és működtetésével, a sütik használatával, az e-mailes és telefonos kapcsolatfelvétellel, az esetleges webes űrlapokkal, az ASP/e-Papír/hivatali kapu útján történő elektronikus ügyintézéssel, a közérdekű adatigénylésekkel, hirdetményekkel, pályázatokkal, panaszokkal és az intézményi kapcsolattartással összefüggő adatkezelésekre.</w:t>
      </w:r>
    </w:p>
    <w:p>
      <w:pPr>
        <w:pStyle w:val="Cmsor2"/>
        <w:bidi w:val="0"/>
        <w:jc w:val="center"/>
        <w:rPr>
          <w:rFonts w:ascii="Times New Roman" w:hAnsi="Times New Roman"/>
          <w:color w:val="000000"/>
          <w:lang w:val="hu-HU"/>
        </w:rPr>
      </w:pPr>
      <w:r>
        <w:rPr>
          <w:rFonts w:ascii="Times New Roman" w:hAnsi="Times New Roman"/>
          <w:color w:val="000000"/>
          <w:lang w:val="hu-HU"/>
        </w:rPr>
        <w:t>Alapelvek és önkormányzati jogalapok</w:t>
      </w:r>
    </w:p>
    <w:p>
      <w:pPr>
        <w:pStyle w:val="Normal"/>
        <w:bidi w:val="0"/>
        <w:spacing w:before="0" w:after="60"/>
        <w:jc w:val="both"/>
        <w:rPr>
          <w:rFonts w:ascii="Times New Roman" w:hAnsi="Times New Roman"/>
          <w:color w:val="000000"/>
          <w:lang w:val="hu-HU"/>
        </w:rPr>
      </w:pPr>
      <w:r>
        <w:rPr>
          <w:rFonts w:ascii="Times New Roman" w:hAnsi="Times New Roman"/>
          <w:color w:val="000000"/>
          <w:lang w:val="hu-HU"/>
        </w:rPr>
        <w:t>Az adatkezelő a személyes adatokat jogszerűen, tisztességesen és átláthatóan kezeli. Csak olyan adatot kezel, amely az adott cél eléréséhez szükséges, és az adatokat kizárólag meghatározott, egyértelmű és jogszerű célból kezeli. Az adatkezelő törekszik az adattakarékosságra, a pontosságra, a korlátozott tárolhatóságra, valamint az adatok integritásának és bizalmas jellegének biztosítására. Az önkormányzati feladatellátás során az adatkezelés tipikus jogalapja nem hozzájárulás, hanem jogi kötelezettség teljesítése vagy közérdekű feladat ellátása az önkormányzati feladat- és hatáskörökre vonatkozó jogszabályok alapján gyakorlása.</w:t>
      </w:r>
    </w:p>
    <w:p>
      <w:pPr>
        <w:pStyle w:val="Normal"/>
        <w:bidi w:val="0"/>
        <w:spacing w:before="0" w:after="60"/>
        <w:jc w:val="both"/>
        <w:rPr>
          <w:rFonts w:ascii="Times New Roman" w:hAnsi="Times New Roman"/>
          <w:color w:val="000000"/>
          <w:lang w:val="hu-HU"/>
        </w:rPr>
      </w:pPr>
      <w:r>
        <w:rPr>
          <w:rFonts w:ascii="Times New Roman" w:hAnsi="Times New Roman"/>
          <w:color w:val="000000"/>
          <w:lang w:val="hu-HU"/>
        </w:rPr>
      </w:r>
      <w:r>
        <w:br w:type="page"/>
      </w:r>
    </w:p>
    <w:p>
      <w:pPr>
        <w:pStyle w:val="Normal"/>
        <w:bidi w:val="0"/>
        <w:spacing w:before="0" w:after="60"/>
        <w:jc w:val="both"/>
        <w:rPr>
          <w:rFonts w:ascii="Times New Roman" w:hAnsi="Times New Roman"/>
          <w:color w:val="000000"/>
          <w:lang w:val="hu-HU"/>
        </w:rPr>
      </w:pPr>
      <w:r>
        <w:rPr>
          <w:rFonts w:ascii="Times New Roman" w:hAnsi="Times New Roman"/>
          <w:color w:val="000000"/>
          <w:lang w:val="hu-HU"/>
        </w:rPr>
      </w:r>
    </w:p>
    <w:p>
      <w:pPr>
        <w:pStyle w:val="Cmsor2"/>
        <w:bidi w:val="0"/>
        <w:jc w:val="center"/>
        <w:rPr>
          <w:rFonts w:ascii="Times New Roman" w:hAnsi="Times New Roman"/>
          <w:color w:val="000000"/>
          <w:lang w:val="hu-HU"/>
        </w:rPr>
      </w:pPr>
      <w:r>
        <w:rPr>
          <w:rFonts w:ascii="Times New Roman" w:hAnsi="Times New Roman"/>
          <w:color w:val="000000"/>
          <w:lang w:val="hu-HU"/>
        </w:rPr>
        <w:t>Az adatkezelések részletes bemutatása</w:t>
      </w:r>
    </w:p>
    <w:tbl>
      <w:tblPr>
        <w:tblStyle w:val="TableGrid"/>
        <w:tblW w:w="1447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413"/>
        <w:gridCol w:w="2412"/>
        <w:gridCol w:w="2414"/>
        <w:gridCol w:w="2413"/>
        <w:gridCol w:w="2412"/>
        <w:gridCol w:w="2413"/>
      </w:tblGrid>
      <w:tr>
        <w:trPr/>
        <w:tc>
          <w:tcPr>
            <w:tcW w:w="2413" w:type="dxa"/>
            <w:tcBorders/>
            <w:shd w:fill="1F4E79"/>
          </w:tcPr>
          <w:p>
            <w:pPr>
              <w:pStyle w:val="Normal"/>
              <w:widowControl/>
              <w:bidi w:val="0"/>
              <w:spacing w:lineRule="auto" w:line="240" w:before="0" w:after="0"/>
              <w:jc w:val="center"/>
              <w:rPr>
                <w:rFonts w:ascii="Times New Roman" w:hAnsi="Times New Roman" w:cs=""/>
                <w:color w:val="FFFFFF"/>
                <w:kern w:val="0"/>
                <w:szCs w:val="22"/>
                <w:lang w:val="hu-HU" w:eastAsia="en-US" w:bidi="ar-SA"/>
              </w:rPr>
            </w:pPr>
            <w:r>
              <w:rPr>
                <w:rFonts w:eastAsia="Arial" w:cs="" w:ascii="Times New Roman" w:hAnsi="Times New Roman"/>
                <w:b/>
                <w:color w:val="FFFFFF"/>
                <w:kern w:val="0"/>
                <w:sz w:val="14"/>
                <w:szCs w:val="22"/>
                <w:lang w:val="hu-HU" w:eastAsia="en-US" w:bidi="ar-SA"/>
              </w:rPr>
              <w:t>Adatkezelési cél</w:t>
            </w:r>
          </w:p>
        </w:tc>
        <w:tc>
          <w:tcPr>
            <w:tcW w:w="2412" w:type="dxa"/>
            <w:tcBorders/>
            <w:shd w:fill="1F4E79"/>
          </w:tcPr>
          <w:p>
            <w:pPr>
              <w:pStyle w:val="Normal"/>
              <w:widowControl/>
              <w:bidi w:val="0"/>
              <w:spacing w:lineRule="auto" w:line="240" w:before="0" w:after="0"/>
              <w:jc w:val="center"/>
              <w:rPr>
                <w:rFonts w:ascii="Times New Roman" w:hAnsi="Times New Roman" w:cs=""/>
                <w:color w:val="FFFFFF"/>
                <w:kern w:val="0"/>
                <w:szCs w:val="22"/>
                <w:lang w:val="hu-HU" w:eastAsia="en-US" w:bidi="ar-SA"/>
              </w:rPr>
            </w:pPr>
            <w:r>
              <w:rPr>
                <w:rFonts w:eastAsia="Arial" w:cs="" w:ascii="Times New Roman" w:hAnsi="Times New Roman"/>
                <w:b/>
                <w:color w:val="FFFFFF"/>
                <w:kern w:val="0"/>
                <w:sz w:val="14"/>
                <w:szCs w:val="22"/>
                <w:lang w:val="hu-HU" w:eastAsia="en-US" w:bidi="ar-SA"/>
              </w:rPr>
              <w:t>Érintettek</w:t>
            </w:r>
          </w:p>
        </w:tc>
        <w:tc>
          <w:tcPr>
            <w:tcW w:w="2414" w:type="dxa"/>
            <w:tcBorders/>
            <w:shd w:fill="1F4E79"/>
          </w:tcPr>
          <w:p>
            <w:pPr>
              <w:pStyle w:val="Normal"/>
              <w:widowControl/>
              <w:bidi w:val="0"/>
              <w:spacing w:lineRule="auto" w:line="240" w:before="0" w:after="0"/>
              <w:jc w:val="center"/>
              <w:rPr>
                <w:rFonts w:ascii="Times New Roman" w:hAnsi="Times New Roman" w:cs=""/>
                <w:color w:val="FFFFFF"/>
                <w:kern w:val="0"/>
                <w:szCs w:val="22"/>
                <w:lang w:val="hu-HU" w:eastAsia="en-US" w:bidi="ar-SA"/>
              </w:rPr>
            </w:pPr>
            <w:r>
              <w:rPr>
                <w:rFonts w:eastAsia="Arial" w:cs="" w:ascii="Times New Roman" w:hAnsi="Times New Roman"/>
                <w:b/>
                <w:color w:val="FFFFFF"/>
                <w:kern w:val="0"/>
                <w:sz w:val="14"/>
                <w:szCs w:val="22"/>
                <w:lang w:val="hu-HU" w:eastAsia="en-US" w:bidi="ar-SA"/>
              </w:rPr>
              <w:t>Kezelt személyes adatok</w:t>
            </w:r>
          </w:p>
        </w:tc>
        <w:tc>
          <w:tcPr>
            <w:tcW w:w="2413" w:type="dxa"/>
            <w:tcBorders/>
            <w:shd w:fill="1F4E79"/>
          </w:tcPr>
          <w:p>
            <w:pPr>
              <w:pStyle w:val="Normal"/>
              <w:widowControl/>
              <w:bidi w:val="0"/>
              <w:spacing w:lineRule="auto" w:line="240" w:before="0" w:after="0"/>
              <w:jc w:val="center"/>
              <w:rPr>
                <w:rFonts w:ascii="Times New Roman" w:hAnsi="Times New Roman" w:cs=""/>
                <w:color w:val="FFFFFF"/>
                <w:kern w:val="0"/>
                <w:szCs w:val="22"/>
                <w:lang w:val="hu-HU" w:eastAsia="en-US" w:bidi="ar-SA"/>
              </w:rPr>
            </w:pPr>
            <w:r>
              <w:rPr>
                <w:rFonts w:eastAsia="Arial" w:cs="" w:ascii="Times New Roman" w:hAnsi="Times New Roman"/>
                <w:b/>
                <w:color w:val="FFFFFF"/>
                <w:kern w:val="0"/>
                <w:sz w:val="14"/>
                <w:szCs w:val="22"/>
                <w:lang w:val="hu-HU" w:eastAsia="en-US" w:bidi="ar-SA"/>
              </w:rPr>
              <w:t>Jogalap</w:t>
            </w:r>
          </w:p>
        </w:tc>
        <w:tc>
          <w:tcPr>
            <w:tcW w:w="2412" w:type="dxa"/>
            <w:tcBorders/>
            <w:shd w:fill="1F4E79"/>
          </w:tcPr>
          <w:p>
            <w:pPr>
              <w:pStyle w:val="Normal"/>
              <w:widowControl/>
              <w:bidi w:val="0"/>
              <w:spacing w:lineRule="auto" w:line="240" w:before="0" w:after="0"/>
              <w:jc w:val="center"/>
              <w:rPr>
                <w:rFonts w:ascii="Times New Roman" w:hAnsi="Times New Roman" w:cs=""/>
                <w:color w:val="FFFFFF"/>
                <w:kern w:val="0"/>
                <w:szCs w:val="22"/>
                <w:lang w:val="hu-HU" w:eastAsia="en-US" w:bidi="ar-SA"/>
              </w:rPr>
            </w:pPr>
            <w:r>
              <w:rPr>
                <w:rFonts w:eastAsia="Arial" w:cs="" w:ascii="Times New Roman" w:hAnsi="Times New Roman"/>
                <w:b/>
                <w:color w:val="FFFFFF"/>
                <w:kern w:val="0"/>
                <w:sz w:val="14"/>
                <w:szCs w:val="22"/>
                <w:lang w:val="hu-HU" w:eastAsia="en-US" w:bidi="ar-SA"/>
              </w:rPr>
              <w:t>Címzettek / adatfeldolgozók</w:t>
            </w:r>
          </w:p>
        </w:tc>
        <w:tc>
          <w:tcPr>
            <w:tcW w:w="2413" w:type="dxa"/>
            <w:tcBorders/>
            <w:shd w:fill="1F4E79"/>
          </w:tcPr>
          <w:p>
            <w:pPr>
              <w:pStyle w:val="Normal"/>
              <w:widowControl/>
              <w:bidi w:val="0"/>
              <w:spacing w:lineRule="auto" w:line="240" w:before="0" w:after="0"/>
              <w:jc w:val="center"/>
              <w:rPr>
                <w:rFonts w:ascii="Times New Roman" w:hAnsi="Times New Roman" w:cs=""/>
                <w:color w:val="FFFFFF"/>
                <w:kern w:val="0"/>
                <w:szCs w:val="22"/>
                <w:lang w:val="hu-HU" w:eastAsia="en-US" w:bidi="ar-SA"/>
              </w:rPr>
            </w:pPr>
            <w:r>
              <w:rPr>
                <w:rFonts w:eastAsia="Arial" w:cs="" w:ascii="Times New Roman" w:hAnsi="Times New Roman"/>
                <w:b/>
                <w:color w:val="FFFFFF"/>
                <w:kern w:val="0"/>
                <w:sz w:val="14"/>
                <w:szCs w:val="22"/>
                <w:lang w:val="hu-HU" w:eastAsia="en-US" w:bidi="ar-SA"/>
              </w:rPr>
              <w:t>Megőrzési idő</w:t>
            </w:r>
          </w:p>
        </w:tc>
      </w:tr>
      <w:tr>
        <w:trPr/>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Weboldal megtekintése, szervernaplózás, biztonságos működtetés</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weboldal látogatói</w:t>
            </w:r>
          </w:p>
        </w:tc>
        <w:tc>
          <w:tcPr>
            <w:tcW w:w="2414"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IP-cím, böngésző és eszköz technikai adatai, látogatás időpontja, kért oldal, szervernapló-adatok</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GDPR 6. cikk (1) e) pont – közfeladat ellátása; IT-biztonság körében GDPR 6. cikk (1) f) pont – jogos érdek</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 xml:space="preserve">Honlap/tárhely </w:t>
            </w:r>
            <w:r>
              <w:rPr>
                <w:rFonts w:eastAsia="Arial" w:cs="" w:ascii="Times New Roman" w:hAnsi="Times New Roman"/>
                <w:b w:val="false"/>
                <w:color w:val="000000"/>
                <w:kern w:val="0"/>
                <w:sz w:val="14"/>
                <w:szCs w:val="22"/>
                <w:lang w:val="hu-HU" w:eastAsia="en-US" w:bidi="ar-SA"/>
              </w:rPr>
              <w:t>üzemeltető</w:t>
            </w:r>
            <w:r>
              <w:rPr>
                <w:rFonts w:eastAsia="Arial" w:cs="" w:ascii="Times New Roman" w:hAnsi="Times New Roman"/>
                <w:b w:val="false"/>
                <w:color w:val="000000"/>
                <w:kern w:val="0"/>
                <w:sz w:val="14"/>
                <w:szCs w:val="22"/>
                <w:lang w:val="hu-HU" w:eastAsia="en-US" w:bidi="ar-SA"/>
              </w:rPr>
              <w:t>; Magyar Államkincstár / ASP; e-mail szolgáltató.</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általában legfeljebb 30 nap; biztonsági esemény esetén az ügy kivizsgálásához szükséges ideig</w:t>
            </w:r>
          </w:p>
        </w:tc>
      </w:tr>
      <w:tr>
        <w:trPr/>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Feltétlenül szükséges technikai sütik használata</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weboldal látogatói</w:t>
            </w:r>
          </w:p>
        </w:tc>
        <w:tc>
          <w:tcPr>
            <w:tcW w:w="2414"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munkamenet-azonosító, cookie-beállítások, technikai működéshez szükséges adatok</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GDPR 6. cikk (1) e) vagy f) pont; az elektronikus hírközlési szabályok alapján hozzájárulás nélkül alkalmazható, ha elengedhetetlen</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 xml:space="preserve">Honlap/tárhely </w:t>
            </w:r>
            <w:r>
              <w:rPr>
                <w:rFonts w:eastAsia="Arial" w:cs="" w:ascii="Times New Roman" w:hAnsi="Times New Roman"/>
                <w:b w:val="false"/>
                <w:color w:val="000000"/>
                <w:kern w:val="0"/>
                <w:sz w:val="14"/>
                <w:szCs w:val="22"/>
                <w:lang w:val="hu-HU" w:eastAsia="en-US" w:bidi="ar-SA"/>
              </w:rPr>
              <w:t>üzemeltető</w:t>
            </w:r>
            <w:r>
              <w:rPr>
                <w:rFonts w:eastAsia="Arial" w:cs="" w:ascii="Times New Roman" w:hAnsi="Times New Roman"/>
                <w:b w:val="false"/>
                <w:color w:val="000000"/>
                <w:kern w:val="0"/>
                <w:sz w:val="14"/>
                <w:szCs w:val="22"/>
                <w:lang w:val="hu-HU" w:eastAsia="en-US" w:bidi="ar-SA"/>
              </w:rPr>
              <w:t>; Magyar Államkincstár / ASP; e-mail szolgáltató.</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munkamenet végéig vagy a süti technikai időtartamáig</w:t>
            </w:r>
          </w:p>
        </w:tc>
      </w:tr>
      <w:tr>
        <w:trPr/>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Analitikai/statisztikai sütik, külső mérőkódok – csak ha ténylegesen aktiváltak</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hozzájáruló látogatók</w:t>
            </w:r>
          </w:p>
        </w:tc>
        <w:tc>
          <w:tcPr>
            <w:tcW w:w="2414"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cookie-azonosító, látogatási statisztika, eszköz- és böngészőadatok, oldalhasználati adatok</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GDPR 6. cikk (1) a) pont – önkéntes hozzájárulás; hozzájárulás hiányában nem alkalmazható</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analitikai szolgáltató; honlapüzemeltető; tárhelyszolgáltató</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a süti típusától függően; hozzájárulás visszavonásáig, de legfeljebb a beállított élettartamig</w:t>
            </w:r>
          </w:p>
        </w:tc>
      </w:tr>
      <w:tr>
        <w:trPr/>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E-mailes kapcsolattartás és megkeresések kezelése</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e-mailben kapcsolatot felvevő személyek, ügyfelek, lakosok, szervezeti kapcsolattartók</w:t>
            </w:r>
          </w:p>
        </w:tc>
        <w:tc>
          <w:tcPr>
            <w:tcW w:w="2414"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név, e-mail cím, telefonszám, ügy tárgya, üzenet tartalma, csatolmányok, válaszok és intézkedések</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GDPR 6. cikk (1) e) pont – közfeladat/közhatalmi jogosítvány; egyes esetekben GDPR 6. cikk (1) c) pont – jogi kötelezettség</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e-mail szolgáltató; hivatali ügyintézők; szükség esetén hatáskörrel rendelkező szervek</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az ügy iratkezelési besorolása szerint; egyszerű megkeresésnél az ügy lezárását követő szükséges ideig</w:t>
            </w:r>
          </w:p>
        </w:tc>
      </w:tr>
      <w:tr>
        <w:trPr/>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Kapcsolatfelvételi űrlap vagy webes beküldő felület kezelése – ahol a honlapon ténylegesen működik</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űrlapot kitöltő személyek</w:t>
            </w:r>
          </w:p>
        </w:tc>
        <w:tc>
          <w:tcPr>
            <w:tcW w:w="2414"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név, e-mail cím, telefonszám, üzenet, IP-cím/technikai metaadat, beküldés időpontja, csatolmány</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GDPR 6. cikk (1) e) pont; hozzájárulás csak opcionális feliratkozásnál vagy nem közhatalmi célú megkeresésnél</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honlap/tárhelyszolgáltató; illetékes ügyintézők; e-mail szolgáltató</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ügyintézés lezárásáig, majd iratkezelési szabályok szerint</w:t>
            </w:r>
          </w:p>
        </w:tc>
      </w:tr>
      <w:tr>
        <w:trPr/>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Önkormányzati ASP rendszer, e-Papír, hivatali kapu, KRID alapú elektronikus ügyintézés</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ügyfelek, kérelmezők, képviselők, meghatalmazottak</w:t>
            </w:r>
          </w:p>
        </w:tc>
        <w:tc>
          <w:tcPr>
            <w:tcW w:w="2414"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természetes személyazonosító adatok, lakcím, elérhetőség, ügyazonosító, ügyiratok, kérelmek, nyilatkozatok, mellékletek, elektronikus azonosítás és kézbesítés adatai</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GDPR 6. cikk (1) c) pont – jogi kötelezettség; GDPR 6. cikk (1) e) pont – közfeladat/közhatalmi jogosítvány</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Magyar Államkincstár / ASP; NISZ vagy kapcsolódó állami elektronikus ügyintézési szolgáltatók; illetékes hatóságok</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közirat/iratkezelési és levéltári szabályok szerint</w:t>
            </w:r>
          </w:p>
        </w:tc>
      </w:tr>
      <w:tr>
        <w:trPr/>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Adóügyek és helyi adózási nyomtatványok kezelése</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adózók, képviselők, ingatlantulajdonosok, vállalkozók</w:t>
            </w:r>
          </w:p>
        </w:tc>
        <w:tc>
          <w:tcPr>
            <w:tcW w:w="2414"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azonosító adatok, adóazonosító jel/adószám, lakcím/székhely, ingatlanadatok, fizetési adatok, bevallások, kérelmek</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GDPR 6. cikk (1) c) és e) pont; adózásra és önkormányzati adóhatósági eljárásra vonatkozó jogszabályok</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ASP adó szakrendszer; NAV vagy más hatóság jogszabály alapján; pénzforgalmi szolgáltató</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adóügyi és iratkezelési jogszabályok szerint</w:t>
            </w:r>
          </w:p>
        </w:tc>
      </w:tr>
      <w:tr>
        <w:trPr/>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Közérdekű adatigénylések kezelése</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adatigénylők</w:t>
            </w:r>
          </w:p>
        </w:tc>
        <w:tc>
          <w:tcPr>
            <w:tcW w:w="2414"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név, elérhetőség, adatigénylés tartalma, teljesítés/megkeresés dokumentumai, költségtérítés adatai</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GDPR 6. cikk (1) c) pont – Infotv. szerinti jogi kötelezettség</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illetékes hivatali szervezeti egység; szükség esetén jogi képviselő, hatóság, bíróság</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az igény teljesítésétől vagy lezárásától számított 5 év, illetve jogvita esetén annak lezárásáig</w:t>
            </w:r>
          </w:p>
        </w:tc>
      </w:tr>
      <w:tr>
        <w:trPr/>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Hirdetmények, közzétételek, képviselő-testületi dokumentumok nyilvánossága</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érintettek, kérelmezők, képviselők, ügyfelek, nyilvánosság</w:t>
            </w:r>
          </w:p>
        </w:tc>
        <w:tc>
          <w:tcPr>
            <w:tcW w:w="2414"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jogszabály alapján közzéteendő személyes adatok, név, ügy tárgya, döntés adatai, jegyzőkönyvi adatok; szükség szerint anonimizált/kitakart adatok</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GDPR 6. cikk (1) c) és e) pont</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honlap látogatói; Nemzeti Jogszabálytár / önkormányzati rendelettár; hirdetm</w:t>
            </w:r>
            <w:r>
              <w:rPr>
                <w:rFonts w:eastAsia="Arial" w:cs="" w:ascii="Times New Roman" w:hAnsi="Times New Roman"/>
                <w:b w:val="false"/>
                <w:color w:val="000000"/>
                <w:kern w:val="0"/>
                <w:sz w:val="14"/>
                <w:szCs w:val="22"/>
                <w:lang w:val="hu-HU" w:eastAsia="en-US" w:bidi="ar-SA"/>
              </w:rPr>
              <w:t>é</w:t>
            </w:r>
            <w:r>
              <w:rPr>
                <w:rFonts w:eastAsia="Arial" w:cs="" w:ascii="Times New Roman" w:hAnsi="Times New Roman"/>
                <w:b w:val="false"/>
                <w:color w:val="000000"/>
                <w:kern w:val="0"/>
                <w:sz w:val="14"/>
                <w:szCs w:val="22"/>
                <w:lang w:val="hu-HU" w:eastAsia="en-US" w:bidi="ar-SA"/>
              </w:rPr>
              <w:t>nyi rendszer; honlap üzemeltető</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közzétételi és iratkezelési szabályok szerint; szükségtelen személyes adatot törölni/anonimizálni kell</w:t>
            </w:r>
          </w:p>
        </w:tc>
      </w:tr>
      <w:tr>
        <w:trPr/>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Álláspályázatok, intézményvezetői és egyéb pályázatok kezelése</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pályázók</w:t>
            </w:r>
          </w:p>
        </w:tc>
        <w:tc>
          <w:tcPr>
            <w:tcW w:w="2414"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név, születési adatok, elérhetőség, önéletrajz, végzettség, szakmai tapasztalat, nyilatkozatok, csatolt okiratok, erkölcsi bizonyítvány adatai ha jogszabály előírja</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GDPR 6. cikk (1) b) pont – pályázat elbírálása; GDPR 6. cikk (1) c) pont – jogi kötelezettség; hozzájárulás csak tartalékban tartáshoz</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döntéshozók, bizottság, jegyző, polgármester, intézményvezető, jogszabály szerinti szervek</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pályázat lezárásáig; sikertelen pályázat esetén visszaküldés/törlés; hozzájárulással legfeljebb 1 év</w:t>
            </w:r>
          </w:p>
        </w:tc>
      </w:tr>
      <w:tr>
        <w:trPr/>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Panaszok, közérdekű bejelentések, integritási vagy visszaélés-bejelentések kezelése – ha az önkormányzat ilyen felületet működtet</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bejelentők, panaszolt személyek, tanúk, érintettek</w:t>
            </w:r>
          </w:p>
        </w:tc>
        <w:tc>
          <w:tcPr>
            <w:tcW w:w="2414"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név, elérhetőség, bejelentés tartalma, bizonyítékok, vizsgálati iratok, intézkedések</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GDPR 6. cikk (1) c) és e) pont; jogérvényesítésnél GDPR 6. cikk (1) f) pont</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illetékes hivatali személyek; hatóságok; jogi képviselő; bíróság</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jogszabály vagy iratkezelési szabályzat szerint; általában 5 év, jogvita esetén annak lezárásáig</w:t>
            </w:r>
          </w:p>
        </w:tc>
      </w:tr>
      <w:tr>
        <w:trPr/>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Intézményekhez kapcsolódó kapcsolattartás és honlapon közzétett intézményi információk</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intézményi ügyfelek, gyermekek/törvényes képviselők, ellátottak, munkavállalók, kapcsolattartók</w:t>
            </w:r>
          </w:p>
        </w:tc>
        <w:tc>
          <w:tcPr>
            <w:tcW w:w="2414"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név, elérhetőség, intézményi ügy adatai; gyermek/ellátotti adatok csak az adott intézmény külön tájékoztatója szerint</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GDPR 6. cikk (1) c) és e) pont; különleges adatnál GDPR 9. cikk szerinti megfelelő kivétel</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érintett intézmény; fenntartó önkormányzat; illetékes hatóság; ASP/e-ügyintézési szolgáltatók</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az adott intézményi és ágazati iratkezelési szabályok szerint</w:t>
            </w:r>
          </w:p>
        </w:tc>
      </w:tr>
      <w:tr>
        <w:trPr/>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Számlázás, pénzügyi teljesítés, könyvelés</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ügyfelek, szerződő felek, díjfizetők, beszállítók</w:t>
            </w:r>
          </w:p>
        </w:tc>
        <w:tc>
          <w:tcPr>
            <w:tcW w:w="2414"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számlázási név/cím/adószám, bankszámla-adatok, fizetés adatai, szerződéses és számviteli bizonylatok</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GDPR 6. cikk (1) c) pont – számviteli/adózási jogi kötelezettség; szerződésnél GDPR 6. cikk (1) b) pont</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könyvelő; bank; számlázó/ASP gazdálkodási szakrendszer; NAV</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számviteli bizonylatok 8 év; szerződések/jogi igények elévülési ideje szerint</w:t>
            </w:r>
          </w:p>
        </w:tc>
      </w:tr>
    </w:tbl>
    <w:p>
      <w:pPr>
        <w:pStyle w:val="Cmsor2"/>
        <w:bidi w:val="0"/>
        <w:jc w:val="center"/>
        <w:rPr>
          <w:rFonts w:ascii="Times New Roman" w:hAnsi="Times New Roman"/>
          <w:color w:val="000000"/>
          <w:lang w:val="hu-HU"/>
        </w:rPr>
      </w:pPr>
      <w:r>
        <w:rPr>
          <w:rFonts w:ascii="Times New Roman" w:hAnsi="Times New Roman"/>
          <w:color w:val="000000"/>
          <w:lang w:val="hu-HU"/>
        </w:rPr>
        <w:t>Sütik és hasonló technológiák részletes szabályai</w:t>
      </w:r>
    </w:p>
    <w:p>
      <w:pPr>
        <w:pStyle w:val="Normal"/>
        <w:bidi w:val="0"/>
        <w:spacing w:before="0" w:after="60"/>
        <w:jc w:val="left"/>
        <w:rPr>
          <w:rFonts w:ascii="Times New Roman" w:hAnsi="Times New Roman"/>
          <w:color w:val="000000"/>
          <w:lang w:val="hu-HU"/>
        </w:rPr>
      </w:pPr>
      <w:r>
        <w:rPr>
          <w:rFonts w:ascii="Times New Roman" w:hAnsi="Times New Roman"/>
          <w:color w:val="000000"/>
          <w:lang w:val="hu-HU"/>
        </w:rPr>
        <w:t>Külön cookie-oldal nem volt egyértelműen azonosítható; WordPress/technikai sütik és szervernaplózás kezelendő, analitika csak hozzájárulással.</w:t>
      </w:r>
    </w:p>
    <w:p>
      <w:pPr>
        <w:pStyle w:val="Normal"/>
        <w:bidi w:val="0"/>
        <w:spacing w:before="0" w:after="60"/>
        <w:jc w:val="both"/>
        <w:rPr>
          <w:rFonts w:ascii="Times New Roman" w:hAnsi="Times New Roman"/>
          <w:color w:val="000000"/>
          <w:lang w:val="hu-HU"/>
        </w:rPr>
      </w:pPr>
      <w:r>
        <w:rPr>
          <w:rFonts w:ascii="Times New Roman" w:hAnsi="Times New Roman"/>
          <w:color w:val="000000"/>
          <w:lang w:val="hu-HU"/>
        </w:rPr>
        <w:t>Feltétlenül szükséges sütik: a honlap alapvető működéséhez, biztonságához, munkamenet-kezeléséhez szükségesek; alkalmazásukhoz külön hozzájárulás nem szükséges. Analitikai, statisztikai, remarketing vagy közösségi média sütik: csak előzetes, önkéntes, konkrét és megfelelő tájékoztatáson alapuló hozzájárulás alapján alkalmazhatók. A hozzájárulás visszavonása ugyanolyan egyszerű módon biztosítandó, mint a megadása.</w:t>
      </w:r>
    </w:p>
    <w:p>
      <w:pPr>
        <w:pStyle w:val="Cmsor2"/>
        <w:bidi w:val="0"/>
        <w:jc w:val="left"/>
        <w:rPr>
          <w:rFonts w:ascii="Times New Roman" w:hAnsi="Times New Roman"/>
          <w:color w:val="000000"/>
          <w:lang w:val="hu-HU"/>
        </w:rPr>
      </w:pPr>
      <w:r>
        <w:rPr>
          <w:rFonts w:ascii="Times New Roman" w:hAnsi="Times New Roman"/>
          <w:color w:val="000000"/>
          <w:lang w:val="hu-HU"/>
        </w:rPr>
        <w:t>ASP rendszer és elektronikus ügyintézés</w:t>
      </w:r>
    </w:p>
    <w:p>
      <w:pPr>
        <w:pStyle w:val="Normal"/>
        <w:bidi w:val="0"/>
        <w:spacing w:before="0" w:after="60"/>
        <w:jc w:val="both"/>
        <w:rPr>
          <w:rFonts w:ascii="Times New Roman" w:hAnsi="Times New Roman"/>
          <w:color w:val="000000"/>
          <w:lang w:val="hu-HU"/>
        </w:rPr>
      </w:pPr>
      <w:r>
        <w:rPr>
          <w:rFonts w:ascii="Times New Roman" w:hAnsi="Times New Roman"/>
          <w:color w:val="000000"/>
          <w:lang w:val="hu-HU"/>
        </w:rPr>
        <w:t>A felhasználói utasítás alapján minden település használja az Önkormányzati ASP rendszert. Az ASP-vel kapcsolatos adatkezelések során az önkormányzat/hivatal az ügyintézéshez szükséges adatokat a vonatkozó közigazgatási, adózási, iratkezelési és elektronikus ügyintézési jogszabályok szerint kezeli. A Magyar Államkincstár és a kapcsolódó állami elektronikus ügyintézési szolgáltatók adatfeldolgozóként vagy önálló adatkezelőként is megjelenhetnek a konkrét szolgáltatás jogi konstrukciójától függően.</w:t>
      </w:r>
    </w:p>
    <w:p>
      <w:pPr>
        <w:pStyle w:val="Cmsor2"/>
        <w:bidi w:val="0"/>
        <w:jc w:val="left"/>
        <w:rPr>
          <w:rFonts w:ascii="Times New Roman" w:hAnsi="Times New Roman"/>
          <w:color w:val="000000"/>
          <w:lang w:val="hu-HU"/>
        </w:rPr>
      </w:pPr>
      <w:r>
        <w:rPr>
          <w:rFonts w:ascii="Times New Roman" w:hAnsi="Times New Roman"/>
          <w:color w:val="000000"/>
          <w:lang w:val="hu-HU"/>
        </w:rPr>
        <w:t>Adatfeldolgozók és címzettek</w:t>
      </w:r>
    </w:p>
    <w:p>
      <w:pPr>
        <w:pStyle w:val="Normal"/>
        <w:bidi w:val="0"/>
        <w:spacing w:before="0" w:after="60"/>
        <w:jc w:val="both"/>
        <w:rPr>
          <w:rFonts w:ascii="Times New Roman" w:hAnsi="Times New Roman"/>
          <w:color w:val="000000"/>
          <w:lang w:val="hu-HU"/>
        </w:rPr>
      </w:pPr>
      <w:r>
        <w:rPr>
          <w:rFonts w:ascii="Times New Roman" w:hAnsi="Times New Roman"/>
          <w:color w:val="000000"/>
          <w:lang w:val="hu-HU"/>
        </w:rPr>
        <w:t xml:space="preserve">Tipikus címzettek/adatfeldolgozók: Honlap/tárhely </w:t>
      </w:r>
      <w:r>
        <w:rPr>
          <w:rFonts w:ascii="Times New Roman" w:hAnsi="Times New Roman"/>
          <w:color w:val="000000"/>
          <w:lang w:val="hu-HU"/>
        </w:rPr>
        <w:t>üzemeltető</w:t>
      </w:r>
      <w:r>
        <w:rPr>
          <w:rFonts w:ascii="Times New Roman" w:hAnsi="Times New Roman"/>
          <w:color w:val="000000"/>
          <w:lang w:val="hu-HU"/>
        </w:rPr>
        <w:t>; Magyar Államkincstár / ASP; e-mail szolgáltató. Ezen túl jogszabály alapján címzettek lehetnek hatóságok, bíróságok, a Magyar Államkincstár, NAV, kormányhivatal, rendőrség, levéltár, fenntartott intézmények, könyvelési/pénzügyi közreműködők és jogi képviselők. Adatfeldolgozó személyes adatot csak szerződés és az adatkezelő utasítása alapján kezelhet.</w:t>
      </w:r>
    </w:p>
    <w:p>
      <w:pPr>
        <w:pStyle w:val="Cmsor2"/>
        <w:bidi w:val="0"/>
        <w:jc w:val="left"/>
        <w:rPr>
          <w:rFonts w:ascii="Times New Roman" w:hAnsi="Times New Roman"/>
          <w:color w:val="000000"/>
          <w:lang w:val="hu-HU"/>
        </w:rPr>
      </w:pPr>
      <w:r>
        <w:rPr>
          <w:rFonts w:ascii="Times New Roman" w:hAnsi="Times New Roman"/>
          <w:color w:val="000000"/>
          <w:lang w:val="hu-HU"/>
        </w:rPr>
        <w:t>Harmadik országba történő adattovábbítás, automatizált döntéshozatal</w:t>
      </w:r>
    </w:p>
    <w:p>
      <w:pPr>
        <w:pStyle w:val="Normal"/>
        <w:bidi w:val="0"/>
        <w:spacing w:before="0" w:after="60"/>
        <w:jc w:val="both"/>
        <w:rPr>
          <w:rFonts w:ascii="Times New Roman" w:hAnsi="Times New Roman"/>
          <w:color w:val="000000"/>
          <w:lang w:val="hu-HU"/>
        </w:rPr>
      </w:pPr>
      <w:r>
        <w:rPr>
          <w:rFonts w:ascii="Times New Roman" w:hAnsi="Times New Roman"/>
          <w:color w:val="000000"/>
          <w:lang w:val="hu-HU"/>
        </w:rPr>
        <w:t>Az adatkezelő harmadik országba történő adattovábbítást főszabály szerint nem végez. Amennyiben a honlap, e-mail, analitikai, közösségi média vagy más informatikai szolgáltató működése harmadik országbeli adattovábbítással jár, arra kizárólag a GDPR V. fejezetében meghatározott garanciák – például megfelelőségi határozat, általános adatvédelmi kikötések vagy más megfelelő jogalap – mellett kerülhet sor. Analitikai vagy marketing szolgáltatás csak külön hozzájárulással és megfelelő tájékoztatással alkalmazható.</w:t>
      </w:r>
    </w:p>
    <w:p>
      <w:pPr>
        <w:pStyle w:val="Normal"/>
        <w:bidi w:val="0"/>
        <w:spacing w:before="0" w:after="60"/>
        <w:jc w:val="both"/>
        <w:rPr>
          <w:rFonts w:ascii="Times New Roman" w:hAnsi="Times New Roman"/>
          <w:color w:val="000000"/>
          <w:lang w:val="hu-HU"/>
        </w:rPr>
      </w:pPr>
      <w:r>
        <w:rPr>
          <w:rFonts w:ascii="Times New Roman" w:hAnsi="Times New Roman"/>
          <w:color w:val="000000"/>
          <w:lang w:val="hu-HU"/>
        </w:rPr>
        <w:t>Az adatkezelő a honlap és e-ügyintézés használata során nem alkalmaz olyan automatizált döntéshozatalt vagy profilalkotást, amely az érintettre nézve joghatással járna vagy őt hasonlóan jelentős mértékben érintené.</w:t>
      </w:r>
    </w:p>
    <w:p>
      <w:pPr>
        <w:pStyle w:val="Cmsor2"/>
        <w:bidi w:val="0"/>
        <w:jc w:val="left"/>
        <w:rPr>
          <w:rFonts w:ascii="Times New Roman" w:hAnsi="Times New Roman"/>
          <w:color w:val="000000"/>
          <w:lang w:val="hu-HU"/>
        </w:rPr>
      </w:pPr>
      <w:r>
        <w:rPr>
          <w:rFonts w:ascii="Times New Roman" w:hAnsi="Times New Roman"/>
          <w:color w:val="000000"/>
          <w:lang w:val="hu-HU"/>
        </w:rPr>
        <w:t>Adatbiztonsági intézkedések</w:t>
      </w:r>
    </w:p>
    <w:p>
      <w:pPr>
        <w:pStyle w:val="Normal"/>
        <w:bidi w:val="0"/>
        <w:spacing w:before="0" w:after="60"/>
        <w:jc w:val="both"/>
        <w:rPr>
          <w:rFonts w:ascii="Times New Roman" w:hAnsi="Times New Roman"/>
          <w:color w:val="000000"/>
          <w:lang w:val="hu-HU"/>
        </w:rPr>
      </w:pPr>
      <w:r>
        <w:rPr>
          <w:rFonts w:ascii="Times New Roman" w:hAnsi="Times New Roman"/>
          <w:color w:val="000000"/>
          <w:lang w:val="hu-HU"/>
        </w:rPr>
        <w:t>Az adatkezelő megfelelő technikai és szervezési intézkedésekkel védi a személyes adatokat, különösen hozzáférési jogosultságok korlátozásával, jelszavas és informatikai védelemmel, naplózással, iratkezelési és selejtezési szabályok alkalmazásával, papíralapú iratok zárt tárolásával, adatfeldolgozói szerződésekkel, biztonsági mentésekkel, valamint adatvédelmi incidensek kivizsgálásával és dokumentálásával. Adatvédelmi incidens esetén az adatkezelő a GDPR 33–34. cikke szerint jár el.</w:t>
      </w:r>
    </w:p>
    <w:p>
      <w:pPr>
        <w:pStyle w:val="Cmsor2"/>
        <w:bidi w:val="0"/>
        <w:jc w:val="left"/>
        <w:rPr>
          <w:rFonts w:ascii="Times New Roman" w:hAnsi="Times New Roman"/>
          <w:color w:val="000000"/>
          <w:lang w:val="hu-HU"/>
        </w:rPr>
      </w:pPr>
      <w:r>
        <w:rPr>
          <w:rFonts w:ascii="Times New Roman" w:hAnsi="Times New Roman"/>
          <w:color w:val="000000"/>
          <w:lang w:val="hu-HU"/>
        </w:rPr>
        <w:t>Érintetti jogok</w:t>
      </w:r>
    </w:p>
    <w:p>
      <w:pPr>
        <w:pStyle w:val="Normal"/>
        <w:bidi w:val="0"/>
        <w:spacing w:before="0" w:after="60"/>
        <w:jc w:val="both"/>
        <w:rPr>
          <w:rFonts w:ascii="Times New Roman" w:hAnsi="Times New Roman"/>
          <w:color w:val="000000"/>
          <w:lang w:val="hu-HU"/>
        </w:rPr>
      </w:pPr>
      <w:r>
        <w:rPr>
          <w:rFonts w:ascii="Times New Roman" w:hAnsi="Times New Roman"/>
          <w:color w:val="000000"/>
          <w:lang w:val="hu-HU"/>
        </w:rPr>
        <w:t>Az érintett jogosult tájékoztatást és hozzáférést kérni a róla kezelt személyes adatokhoz; kérheti a pontatlan adatok helyesbítését; kérheti az adatkezelés korlátozását; a jogszabályi feltételek fennállása esetén kérheti az adatok törlését; tiltakozhat a közfeladat vagy jogos érdek alapján végzett adatkezelés ellen; hozzájáruláson alapuló adatkezelés esetén hozzájárulását bármikor visszavonhatja; szerződésen vagy hozzájáruláson alapuló automatizált adatkezelésnél kérheti az adathordozhatóságot. Közhatalmi, jogi kötelezettségen alapuló, közirati vagy irattári megőrzés alá eső adatkezeléseknél a törléshez és adathordozhatósághoz való jog korlátozott lehet.</w:t>
      </w:r>
    </w:p>
    <w:p>
      <w:pPr>
        <w:pStyle w:val="Normal"/>
        <w:bidi w:val="0"/>
        <w:spacing w:before="0" w:after="60"/>
        <w:jc w:val="left"/>
        <w:rPr>
          <w:rFonts w:ascii="Times New Roman" w:hAnsi="Times New Roman"/>
          <w:color w:val="000000"/>
          <w:lang w:val="hu-HU"/>
        </w:rPr>
      </w:pPr>
      <w:r>
        <w:rPr>
          <w:rFonts w:ascii="Times New Roman" w:hAnsi="Times New Roman"/>
          <w:color w:val="000000"/>
          <w:lang w:val="hu-HU"/>
        </w:rPr>
        <w:t>A kérelmet az adatkezelő hivatalos elérhetőségein vagy az adatvédelmi tisztviselőnél lehet benyújtani. Az adatkezelő a kérelmet indokolatlan késedelem nélkül, de legkésőbb egy hónapon belül megválaszolja. Szükség esetén ez a határidő két hónappal meghosszabbítható, amelyről az érintettet tájékoztatni kell.</w:t>
      </w:r>
    </w:p>
    <w:p>
      <w:pPr>
        <w:pStyle w:val="Cmsor2"/>
        <w:bidi w:val="0"/>
        <w:jc w:val="left"/>
        <w:rPr>
          <w:rFonts w:ascii="Times New Roman" w:hAnsi="Times New Roman"/>
          <w:color w:val="000000"/>
          <w:lang w:val="hu-HU"/>
        </w:rPr>
      </w:pPr>
      <w:r>
        <w:rPr>
          <w:rFonts w:ascii="Times New Roman" w:hAnsi="Times New Roman"/>
          <w:color w:val="000000"/>
          <w:lang w:val="hu-HU"/>
        </w:rPr>
        <w:t>Jogorvoslat</w:t>
      </w:r>
    </w:p>
    <w:p>
      <w:pPr>
        <w:pStyle w:val="Normal"/>
        <w:bidi w:val="0"/>
        <w:spacing w:before="0" w:after="60"/>
        <w:jc w:val="both"/>
        <w:rPr>
          <w:rFonts w:ascii="Times New Roman" w:hAnsi="Times New Roman"/>
          <w:color w:val="000000"/>
          <w:lang w:val="hu-HU"/>
        </w:rPr>
      </w:pPr>
      <w:r>
        <w:rPr>
          <w:rFonts w:ascii="Times New Roman" w:hAnsi="Times New Roman"/>
          <w:color w:val="000000"/>
          <w:lang w:val="hu-HU"/>
        </w:rPr>
        <w:t>Az érintett panasszal fordulhat a Nemzeti Adatvédelmi és Információszabadság Hatósághoz (NAIH). Cím: 1055 Budapest, Falk Miksa utca 9-11.; postacím: 1363 Budapest, Pf. 9.; e-mail: ugyfelszolgalat@naih.hu; honlap: www.naih.hu. Az érintett bírósághoz is fordulhat; a pert választása szerint a lakóhelye vagy tartózkodási helye szerint illetékes törvényszék előtt is megindíthatja.</w:t>
      </w:r>
    </w:p>
    <w:p>
      <w:pPr>
        <w:pStyle w:val="Cmsor2"/>
        <w:bidi w:val="0"/>
        <w:jc w:val="left"/>
        <w:rPr>
          <w:rFonts w:ascii="Times New Roman" w:hAnsi="Times New Roman"/>
          <w:color w:val="000000"/>
          <w:lang w:val="hu-HU"/>
        </w:rPr>
      </w:pPr>
      <w:r>
        <w:rPr>
          <w:rFonts w:ascii="Times New Roman" w:hAnsi="Times New Roman"/>
          <w:color w:val="000000"/>
          <w:lang w:val="hu-HU"/>
        </w:rPr>
        <w:t>A tájékoztató módosítása</w:t>
      </w:r>
    </w:p>
    <w:p>
      <w:pPr>
        <w:pStyle w:val="Normal"/>
        <w:bidi w:val="0"/>
        <w:spacing w:before="0" w:after="60"/>
        <w:jc w:val="both"/>
        <w:rPr>
          <w:rFonts w:ascii="Times New Roman" w:hAnsi="Times New Roman"/>
          <w:color w:val="000000"/>
          <w:lang w:val="hu-HU"/>
        </w:rPr>
      </w:pPr>
      <w:r>
        <w:rPr>
          <w:rFonts w:ascii="Times New Roman" w:hAnsi="Times New Roman"/>
          <w:color w:val="000000"/>
          <w:lang w:val="hu-HU"/>
        </w:rPr>
        <w:t>Az adatkezelő fenntartja a jogot a tájékoztató módosítására, különösen jogszabályváltozás, honlapműködés-változás, új űrlap, új adatfeldolgozó, új süti vagy új elektronikus ügyintézési szolgáltatás bevezetése esetén. A mindenkor hatályos tájékoztató a honlapon teendő közzé.</w:t>
      </w:r>
    </w:p>
    <w:p>
      <w:pPr>
        <w:pStyle w:val="Normal"/>
        <w:bidi w:val="0"/>
        <w:jc w:val="left"/>
        <w:rPr>
          <w:rFonts w:ascii="Times New Roman" w:hAnsi="Times New Roman"/>
          <w:color w:val="000000"/>
          <w:lang w:val="hu-HU"/>
        </w:rPr>
      </w:pPr>
      <w:r>
        <w:rPr>
          <w:rFonts w:ascii="Times New Roman" w:hAnsi="Times New Roman"/>
          <w:color w:val="000000"/>
          <w:lang w:val="hu-HU"/>
        </w:rPr>
      </w:r>
    </w:p>
    <w:sectPr>
      <w:type w:val="nextPage"/>
      <w:pgSz w:orient="landscape" w:w="16838" w:h="11906"/>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01"/>
    <w:family w:val="roman"/>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hu-HU" w:eastAsia="zh-CN" w:bidi="hi-IN"/>
    </w:rPr>
  </w:style>
  <w:style w:type="paragraph" w:styleId="Cmsor2">
    <w:name w:val="Heading 2"/>
    <w:basedOn w:val="Normal"/>
    <w:next w:val="Normal"/>
    <w:qFormat/>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character" w:styleId="Internet-hivatkozs">
    <w:name w:val="Hyperlink"/>
    <w:rPr>
      <w:color w:val="000080"/>
      <w:u w:val="single"/>
    </w:rPr>
  </w:style>
  <w:style w:type="paragraph" w:styleId="Cmsor">
    <w:name w:val="Címsor"/>
    <w:basedOn w:val="Normal"/>
    <w:next w:val="Szvegtrzs"/>
    <w:qFormat/>
    <w:pPr>
      <w:keepNext w:val="true"/>
      <w:spacing w:before="240" w:after="120"/>
    </w:pPr>
    <w:rPr>
      <w:rFonts w:ascii="Liberation Sans" w:hAnsi="Liberation Sans" w:eastAsia="Microsoft YaHei" w:cs="Arial"/>
      <w:sz w:val="28"/>
      <w:szCs w:val="28"/>
    </w:rPr>
  </w:style>
  <w:style w:type="paragraph" w:styleId="Szvegtrzs">
    <w:name w:val="Body Text"/>
    <w:basedOn w:val="Normal"/>
    <w:pPr>
      <w:spacing w:lineRule="auto" w:line="276" w:before="0" w:after="140"/>
    </w:pPr>
    <w:rPr/>
  </w:style>
  <w:style w:type="paragraph" w:styleId="Lista">
    <w:name w:val="List"/>
    <w:basedOn w:val="Szvegtrzs"/>
    <w:pPr/>
    <w:rPr>
      <w:rFonts w:cs="Arial"/>
    </w:rPr>
  </w:style>
  <w:style w:type="paragraph" w:styleId="Felirat">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 w:type="paragraph" w:styleId="Tblzattartalom">
    <w:name w:val="Táblázattartalom"/>
    <w:basedOn w:val="Normal"/>
    <w:qFormat/>
    <w:pPr>
      <w:widowControl w:val="false"/>
      <w:suppressLineNumbers/>
    </w:pPr>
    <w:rPr/>
  </w:style>
  <w:style w:type="paragraph" w:styleId="Tblzatfejlc">
    <w:name w:val="Táblázatfejléc"/>
    <w:basedOn w:val="Tblzattartalom"/>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ludas.hu/" TargetMode="External"/><Relationship Id="rId3" Type="http://schemas.openxmlformats.org/officeDocument/2006/relationships/hyperlink" Target=""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LibreOffice/7.5.1.2$Windows_X86_64 LibreOffice_project/fcbaee479e84c6cd81291587d2ee68cba099e129</Application>
  <AppVersion>15.0000</AppVersion>
  <Pages>4</Pages>
  <Words>1473</Words>
  <Characters>11604</Characters>
  <CharactersWithSpaces>12964</CharactersWithSpaces>
  <Paragraphs>129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2026-05-05T19:49:31Z</dcterms:created>
  <dc:creator/>
  <dc:description/>
  <dc:language>hu-HU</dc:language>
  <cp:lastModifiedBy/>
  <dcterms:modified xsi:type="dcterms:W3CDTF">2026-05-05T19:57:58Z</dcterms:modified>
  <cp:revision>1</cp:revision>
  <dc:subject/>
  <dc:title/>
</cp:coreProperties>
</file>